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итоги социально-экономического развития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Карелия на текущий финансовый год</w:t>
      </w:r>
    </w:p>
    <w:p w:rsidR="00DC6913" w:rsidRPr="00DF78A9" w:rsidRDefault="00DC69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Оборот организаций всех видов экономической деятельности в январе-августе 2025 года составил 531 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млрд.руб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что на 5,8% выше показателя анало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гичного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 прошлого года.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высокие темпы роста данного показателя отмечаются в сельском, лесном хозяйстве, охоте, рыболовстве и рыбоводстве (118,8%),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торговле (122,9%), транспортировке и хранении (113,7), деятельности гостиниц и предприятий общ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ественного питания (118,6%)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выпуска товаров и услуг по базовым видам экономической деятельности, характеризующий изменение физического объёма выпуска товаров и услуг в таких видах экономической деятельности как сельское хозяйство, промышленность, ст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роительство, транспорт и торговля,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сложился за этот период на уровне 100,8% в сравнении с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аналогичным периодом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прошлого года, тогда как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январе – августе 2024 года составлял 97,6%.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Индекс промышленного производства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январе-августе 2025 года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 9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4,8% к аналогичному периоду прошлого года, в том числе в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добыче полезных ископаемых – 102,2%, обрабатывающих производствах – 89,3%,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обеспечении электрической энергией, газом, паром; кондиционировании воздуха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- 89,6%,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водоснабжении, водоотведении, орган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сбора и утилизации отходов, деятельности по ликвидации загрязнений – 102,3%.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влияние на снижение объемов промышленного производства оказали обрабатывающие производства и организации, осуществляющие деятельность в обеспечении электрической э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нергией, газом, паром; кондиционировании воздуха.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undefined"/>
      <w:bookmarkEnd w:id="0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общем индексе производства в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добыче полезных ископаемых 102,2% в сравнении с аналогичным периодом 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периодом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прошлого года,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в добыче металлических руд физические объемы производства увеличились на 2,9%,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тогда как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добыче прочих полезных ископаемых – снизились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на 3,7%.</w:t>
      </w:r>
    </w:p>
    <w:p w:rsidR="00DC6913" w:rsidRPr="00DF78A9" w:rsidRDefault="00ED78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8A9">
        <w:rPr>
          <w:rFonts w:ascii="Times New Roman" w:hAnsi="Times New Roman" w:cs="Times New Roman"/>
          <w:sz w:val="28"/>
          <w:szCs w:val="28"/>
        </w:rPr>
        <w:t xml:space="preserve">В </w:t>
      </w:r>
      <w:r w:rsidRPr="00DF78A9">
        <w:rPr>
          <w:rFonts w:ascii="Times New Roman" w:hAnsi="Times New Roman" w:cs="Times New Roman"/>
          <w:sz w:val="28"/>
          <w:szCs w:val="28"/>
        </w:rPr>
        <w:t xml:space="preserve">январе-августе текущего года </w:t>
      </w:r>
      <w:r w:rsidRPr="00DF78A9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Pr="00DF78A9">
        <w:rPr>
          <w:rFonts w:ascii="Times New Roman" w:hAnsi="Times New Roman" w:cs="Times New Roman"/>
          <w:sz w:val="28"/>
          <w:szCs w:val="28"/>
        </w:rPr>
        <w:t xml:space="preserve">железорудных окатышей выросло на1,6% </w:t>
      </w:r>
      <w:r w:rsidRPr="00DF78A9">
        <w:rPr>
          <w:rFonts w:ascii="Times New Roman" w:hAnsi="Times New Roman" w:cs="Times New Roman"/>
          <w:sz w:val="28"/>
          <w:szCs w:val="28"/>
        </w:rPr>
        <w:t>к аналогичному периоду 2024 года, железорудного концентрата –на 5,1%.</w:t>
      </w:r>
    </w:p>
    <w:p w:rsidR="00DC6913" w:rsidRPr="00DF78A9" w:rsidRDefault="00ED7804">
      <w:pPr>
        <w:spacing w:after="0"/>
        <w:ind w:firstLine="567"/>
        <w:jc w:val="both"/>
        <w:rPr>
          <w:sz w:val="28"/>
          <w:szCs w:val="28"/>
        </w:rPr>
      </w:pPr>
      <w:r w:rsidRPr="00DF78A9">
        <w:rPr>
          <w:rFonts w:ascii="Times New Roman" w:hAnsi="Times New Roman" w:cs="Times New Roman"/>
          <w:sz w:val="28"/>
          <w:szCs w:val="28"/>
        </w:rPr>
        <w:t>Объем производства гранита, пес</w:t>
      </w:r>
      <w:r w:rsidRPr="00DF78A9">
        <w:rPr>
          <w:rFonts w:ascii="Times New Roman" w:hAnsi="Times New Roman" w:cs="Times New Roman"/>
          <w:sz w:val="28"/>
          <w:szCs w:val="28"/>
        </w:rPr>
        <w:t xml:space="preserve">чаника и прочего камня для памятников и строительства за анализируемый период составил 17 378,1 тыс. тонн (91,4% к аналогичному периоду 2024 года), объем производства гранул, крошки, порошка, гальки и гравия – 1 822,3 </w:t>
      </w:r>
      <w:proofErr w:type="spellStart"/>
      <w:proofErr w:type="gramStart"/>
      <w:r w:rsidRPr="00DF78A9">
        <w:rPr>
          <w:rFonts w:ascii="Times New Roman" w:hAnsi="Times New Roman" w:cs="Times New Roman"/>
          <w:sz w:val="28"/>
          <w:szCs w:val="28"/>
        </w:rPr>
        <w:t>тыс.куб</w:t>
      </w:r>
      <w:proofErr w:type="gramEnd"/>
      <w:r w:rsidRPr="00DF78A9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DF78A9">
        <w:rPr>
          <w:rFonts w:ascii="Times New Roman" w:hAnsi="Times New Roman" w:cs="Times New Roman"/>
          <w:sz w:val="28"/>
          <w:szCs w:val="28"/>
        </w:rPr>
        <w:t xml:space="preserve"> (146,8 % к аналогичному пери</w:t>
      </w:r>
      <w:r w:rsidRPr="00DF78A9">
        <w:rPr>
          <w:rFonts w:ascii="Times New Roman" w:hAnsi="Times New Roman" w:cs="Times New Roman"/>
          <w:sz w:val="28"/>
          <w:szCs w:val="28"/>
        </w:rPr>
        <w:t>оду 2024 года).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8A9">
        <w:rPr>
          <w:rFonts w:ascii="Times New Roman" w:hAnsi="Times New Roman" w:cs="Times New Roman"/>
          <w:sz w:val="28"/>
          <w:szCs w:val="28"/>
        </w:rPr>
        <w:lastRenderedPageBreak/>
        <w:t xml:space="preserve">С учетом предварительных данных </w:t>
      </w:r>
      <w:r w:rsidRPr="00DF78A9">
        <w:rPr>
          <w:rFonts w:ascii="Times New Roman" w:hAnsi="Times New Roman" w:cs="Times New Roman"/>
          <w:sz w:val="28"/>
          <w:szCs w:val="28"/>
        </w:rPr>
        <w:t xml:space="preserve">предприятий в 2025 </w:t>
      </w:r>
      <w:proofErr w:type="gramStart"/>
      <w:r w:rsidRPr="00DF78A9">
        <w:rPr>
          <w:rFonts w:ascii="Times New Roman" w:hAnsi="Times New Roman" w:cs="Times New Roman"/>
          <w:sz w:val="28"/>
          <w:szCs w:val="28"/>
        </w:rPr>
        <w:t>году  индекс</w:t>
      </w:r>
      <w:proofErr w:type="gramEnd"/>
      <w:r w:rsidRPr="00DF78A9">
        <w:rPr>
          <w:rFonts w:ascii="Times New Roman" w:hAnsi="Times New Roman" w:cs="Times New Roman"/>
          <w:sz w:val="28"/>
          <w:szCs w:val="28"/>
        </w:rPr>
        <w:t xml:space="preserve"> производства в добыче полезных ископаемых оценивается  101,8- 103,7%.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обрабатывающих производствах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сокращение выпускаемой продукции на 10,7% в значительной степени объясняется снижением производства пищевых продуктов на 28,7%, а также изделий из дерева на 13,8%. Вместе с тем позитивная динамика отмечается в таких видах экономической деятельности   как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производство химических веществ и химических продуктов - 119,2%,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производство готовых металлических изделий, кроме машин и оборудования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- 104,6%,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производство машин и оборудования, не включенных в другие группировки - 145,1%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производстве пищевых прод</w:t>
      </w: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уктов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производства составил 71,3% к январю-августу 2024 года.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производства пищевых продуктов обусловлено, в основном, снижением производства по видам деятельности «Производство молочной продукции» (индекс производства — 96,5%) и «Переработ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ка и консервирование рыбы, ракообразных и моллюсков» (64,1%).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объемы производства полуфабрикатов мясных, 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мясосодержащих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охлажденных и замороженных составили 1,8 тыс. тонн (106% к аналогичному периоду 2024 года), сыров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– 40,8 тонны (118,5%).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зводство рыбных переработанных и консервированных продуктов снизилось на 36% (42,4 тыс. тонн), масла сливочного - на 11,9% (194,4 тонн), хлебобулочных изделий – на 9,8% (8,6 тыс. тонн), колбасных изделий – на 7,5% (183,1 тонны), молока жидкого обработанног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– на 0,8% (13,2 тыс. тонн), 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увеличения объемов производства молочной продукции на территории Республики Карелия в конце 2024 года АО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Племсовхоз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«Мегрега», за счет средств регионального бюджета, приобрело контрольный пакет акций АО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Эссойла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». В 2025 году запланировано поэтапное наращивание мощностей предприятия, а также расширение линейки выпускаемой молочной продукции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iCs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В августе 2025 года проведен дополнительный отбор заявок на получение мер государственной поддержки по переработке сырого мо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лока. По итогам отбора АО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Эссойла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 будет предоставлена субсидия на сумму 150,5 тыс. рублей, предприятие планирует переработать 968 тонн сырого молока</w:t>
      </w:r>
      <w:r w:rsidRPr="00DF78A9">
        <w:rPr>
          <w:iCs/>
          <w:sz w:val="28"/>
          <w:szCs w:val="28"/>
        </w:rPr>
        <w:t>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Существенное снижение производства продуктов рыбных переработанных в текущем году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обусловлено общим сни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жением квот на вылов водных биоресурсов в Баренцевом море. 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решениям Смешанной российско-норвежской комиссии по рыболовству в 2025 году общий допустимый улов на вылов трески в Северо-Восточной части Атлантического океана снижен на 25% по сравнени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с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уровнем 2024 года (самый низкий уровень начиная с 1991 года), пикши - на 7,8%, промысел мойвы в целях обеспечения восполнения ее запасов решено не осуществлять (в 2024 году квота на вылов мойвы была 19,2 тыс. тонн).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текущей ситуации до конца г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ода индекс производства пищевых продуктов по 2025 году оценивается на уровне 85-95% к 2024 год</w:t>
      </w:r>
      <w:r w:rsidRPr="00DF78A9">
        <w:rPr>
          <w:sz w:val="28"/>
          <w:szCs w:val="28"/>
        </w:rPr>
        <w:t>у.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производства по виду деятельности «</w:t>
      </w: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производство напитков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 за январь-август 2025 года составил 108,3% к соответствующему периоду 2024 года. В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ыпуск ликероводочных изделий с содержанием спирта свыше 25% увеличился на14,8% к аналогичному периоду 2024 года при снижении производства водки на 20,4%.  С учетом динамики прошлого и текущего года индекс производства оценивается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 100-103%</w:t>
      </w:r>
      <w:r w:rsidRPr="00DF78A9">
        <w:rPr>
          <w:sz w:val="28"/>
          <w:szCs w:val="28"/>
        </w:rPr>
        <w:t>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По ви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ду деятельности «</w:t>
      </w: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Обработка древесины и производство изделий из дерева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за январь-август2025 года индекс производства составил 86,2%. 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влияние на снижение производства оказало сокращение выпуска древесно-стружечных плит на 78,7% в результате остано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вки деятельности ООО ДОК «Калевала» по производству ориентированно-стружечных плит с 27 апреля 2024 вследствие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пожара. 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собственником АО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Артенбор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(производство плит ДСП) принято решение о приостановке с мая текущего года деятельности завода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proofErr w:type="gram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пгт.Пиндуши</w:t>
      </w:r>
      <w:proofErr w:type="spellEnd"/>
      <w:proofErr w:type="gram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связи с отсутствием спроса на продукцию и как следствие ухудшением экономического состояния предприятия. В случае улучшения рыночных условий, в 2026 году будет рассмотрен вопрос о возобновлении производственной деятельности завода.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запланированного на конец сентября 2025 года запуска производства на ООО ДОК «Калевала», а также запуска новой линии лесопиления на ООО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Соломенский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лесозавод» (ориентировочно ноябрь 2025 года) индекс производства по виду деятельности «Обработка древесины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производство изделий из дерева и пробки, кроме мебели, производство изделий из соломки и материалов для плетения» оценивается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2025 года на уровне 91,2- 94,6%.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производства по виду деятельности «</w:t>
      </w: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Производство бумаги и бумажных изделий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 з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январь-август 2025 года составил 94,4%. 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производство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бумажных мешков на ООО «Сегежская упаковка» снизилось на 14,4%, что обусловлено сокращением спроса в строительном сегменте экономики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и высокой ключевой ставкой.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Вместе с тем, по информации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руководства АО «Сегежский ЦБК» в связи с высоким спросом на белую 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микрокрепированную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бумагу до конца текущего года предприятие планирует нарастить объем производства данного вида продукции. По итогам 2025 года объем производства бумаги АО «Сегежский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ЦБК» (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мешочная, белая 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микрокрепированная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) оценивается на уровне 370 тыс. тонн или 109,6% к уровню 2024 года.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сложившейся ситуации и планов целлюлозно-бумажных предприятий индекс по виду деятельности «производство бумаги и бумажных изделий» в 2025 году о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ценивается на уровне 95- 97,2%. 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виду экономической деятельности «</w:t>
      </w: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металлургическое производство»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январе-августе текущего года индекс производства составил 81,5% к уровню аналогичного периода 2024 года.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формирование данного индекса основное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оказывает деятельность АО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Вяртсильский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метизный завод» и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«Литейный завод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Петрозаводскмаш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 в части выпуска чугунных отливок.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На АО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Вяртсильский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метизный завод» объем производства метизной продукции в натуральном выражении за январь-август 2025 года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составил 28,5 тыс. тонн (80,6% к аналогичному периоду 2024 года), в стоимостном выражении – 1 млрд руб. (72,3% к уровню января-августа 2024 года). Снижение показателей обусловлено высокой конкуренцией на рынке метизов, а также 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санкционным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давлением. 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«Литейный завод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Петрозаводскмаш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 январе-августе 2025 года в рамках деятельности по чугунному литью произведено продукции на сумму 105,65 млн рублей 42,8%).  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2024 года отмечается значительный спад потребности в чугунном литье для станков. В 2025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году заявки на изготовление продукции от предприятий станкостроительной отрасли не поступали</w:t>
      </w:r>
      <w:r w:rsidRPr="00DF78A9">
        <w:rPr>
          <w:sz w:val="28"/>
          <w:szCs w:val="28"/>
        </w:rPr>
        <w:t>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сложившуюся динамику металлургического производства в текущем году, индекс производства по данному виду деятельности в 2025 году оценивается на уровне 83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Индекс </w:t>
      </w: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производства готовых металлических изделий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итогам января-августа 2025 года в сопоставимых ценах составил 104,6% по отношению соответствующему периоду 2024 года.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виде экономической деятельности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участниками являются   субъект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малого и среднего предпринимательства, осуществляющий изготовление готовых металлических изделий,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обработку металлов, строительных и металлических конструкций. 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крупных предприятий основным является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филиал АО 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«АЭМ-технологии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Петрозаводскмаш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 г. Петрозаводск.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январе-августе 2025 года предприятием отгружено продукции на сумму 1 568 160 тыс. рублей (68,1% к аналогичному периоду 2024 года).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Производимая предприятием продукция относится к продукции с длительны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циклом изготовления (продукция ДЦИ) – превышающим 12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месяцев. В связи с этим учет продукции осуществляется в соответствии с методикой бухгалтерского учета для продукции с длительным циклом изготовления, исходя из которой признание выручки по договору ДЦИ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происходит «по мере готовности», то есть не по завершении полного объема изготовления продукции посредством подписания первичных документов с покупателем, а в течение периода по мере передачи покупателю контроля над готовой продукцией при выполнении услов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ий и критериев передачи контроля, предусмотренных методикой.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 к крупным предприятиям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виде экономической деятельности относится ООО «Русский Радиатор». В январе-августе 2025 года предприятие произвело 1 015 505 секций (87,1% к уровню ян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варя-августа 2024 года), отгрузка продукции за указанный период составила 713 млн. рублей (80% к уровню января-августа 2024 года).  Низкий объем реализации радиаторов отопления связан со снижением объемов строительства. Дополнительные корректировки в деяте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льность предприятия вносит высокая конкуренция со стороны КНР. 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сложившейся динамики в текущем году и планов работы предприятий индекс производства по данному виду деятельности оценивается по году на уровне 90-92%.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производства по виду экономической деятельности «</w:t>
      </w: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производство машин и оборудования, не включенных в другие группировки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 по итогам января-августа 2025 года составил 145,1% к уровню января-августа 2024 года.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На формирование значения данного индекса ос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новное влияние оказывает деятельность таких предприятий, как ООО «Инженерный центр пожарной робототехники «ЭФЭР», ООО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Амкодор-Онего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», ООО «Литейный завод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Петрозаводскмаш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«Инженерный центр пожарной робототехники «ЭФЭР» в январе-августе 2025 года про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извел и отгрузил противопожарного оборудования на 441792 тыс. рублей в действующих ценах, что на 13,7% больше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показателя января-августа 2024 года. </w:t>
      </w:r>
      <w:bookmarkStart w:id="1" w:name="_GoBack"/>
      <w:bookmarkEnd w:id="1"/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На ООО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Амкодор-Онего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 (дочерняя компания белорусского холдинга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Амкодор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») в 2024 году продолжается реализа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ция инвестиционного проекта по созданию и освоению высокотехнологичного, импортозамещающего производства лесозаготовительной техники на базе выкупленного имущества Онежского тракторного завода, признанного банкротом. По итогам января-августа 2025года собра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но 13 единиц техники на общую сумму 343,3 млн рублей.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рамках реализации проекта по созданию первого в Российской Федерации Центра компетенции по производству мелкогабаритных отливок для производства деталей и компонентов в машиностроении ООО «Литейный за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вод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Петрозаводскмаш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 в 2023 году начал производство двигателей и запчастей к ним. По итогам работы за январь-август 2025 года предприятие выпустило данной продукции на сумму 1 689,5 млн рублей (149% к аналогичному периоду 2024 года).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по итогам январ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я-августа 2025 года выпуск товарной продукции на ООО «Литейный завод «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Петрозаводскмаш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» в натуральном выражении составил 3 169 тонн (97,5% к аналогичному периоду 2024 года), в стоимостном выражении 1 593,</w:t>
      </w:r>
      <w:proofErr w:type="gram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3  млн</w:t>
      </w:r>
      <w:proofErr w:type="gram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(136% к аналогичному периоду 2024 года)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динамики производства в текущем году и дальнейших планов работы предприятий индекс производства по данному виду деятельности в 2025 году оценивается на уровне 150-1</w:t>
      </w:r>
      <w:r w:rsidRPr="00DF78A9">
        <w:rPr>
          <w:sz w:val="28"/>
          <w:szCs w:val="28"/>
        </w:rPr>
        <w:t>70%.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производства</w:t>
      </w:r>
      <w:r w:rsidRPr="00DF78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прочих транспортных средств и оборудования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</w:rPr>
        <w:t>в январе-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 2025 года составил 67,5% по сравнению с уровнем соответствующего периода 2024 года в сопоставимых ценах. Основным предприятием в республике в данном виде экономической деятельности является ООО «Онежский судостроительно-судоремонтный завод». 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январе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-августе 2025 года отремонтировано 8 судов, в производстве находится 15 судов различного класса (в соответствии с заключенными контрактами)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Индекс производства по году по данному виду экономической деятельности 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завершения </w:t>
      </w:r>
      <w:proofErr w:type="spellStart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длинноцикловых</w:t>
      </w:r>
      <w:proofErr w:type="spellEnd"/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 продукции ожидается на уровне 100% к 2024 году.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оценкам, учитывая вышеизложенное, объем производства в обрабатывающих производствах республики в 2025 году оценивается на уровне 95% к 2024 году в сопоставимых цена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динамики прошлого года и с учетом текущей ситуации в январе-августе 2025 года, индекс производства по виду экономической деятельности «обеспечение электрической энергией, газом и паром; кондиционирование воздуха» по году оценивается на уровне 95</w:t>
      </w: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-101%, по виду деятельности «водоснабжение; водоотведение, организация сбора и утилизации отходов, деятельность по ликвидации загрязнений» – на уровне 105-110%.</w:t>
      </w:r>
    </w:p>
    <w:p w:rsidR="00DC6913" w:rsidRPr="00DF78A9" w:rsidRDefault="00ED78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январь-август 2025 года хозяйствами всех ка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тегорий произведено </w:t>
      </w:r>
      <w:r w:rsidRPr="00DF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продукции сельского хозяйства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фактических ценах на сумму 5541,8 млн рублей или 116,4% по отношению к январю-августу 2024 года в действующих ценах. Индекс производства продукции сельского хозяйства в сопоставимых ценах по всем категориям хозяйств составил 99,6%. С учетом текущей 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ситу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ации, полученного урожая и планов предприятий до конца года ожидается, что индекс производства сельскохозяйственной продукции составит 100% к 2024 году.</w:t>
      </w:r>
    </w:p>
    <w:p w:rsidR="00DC6913" w:rsidRPr="00DF78A9" w:rsidRDefault="00ED7804">
      <w:pPr>
        <w:widowControl w:val="0"/>
        <w:spacing w:after="0"/>
        <w:ind w:firstLine="709"/>
        <w:contextualSpacing/>
        <w:jc w:val="both"/>
        <w:rPr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январе-августе 2025 года объем работ, выполненных по виду экономической деятельности «</w:t>
      </w:r>
      <w:r w:rsidRPr="00DF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Строительство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28,2 млрд рублей или 115,1% в сопоставимых ценах по отношению к уровню аналогичного периода 2024 года. Введено в действие 241,7 тыс. кв. м. общей площади жилых домов или 116,4% к уровню января-августа 2024 года, индивидуальными застройщиками пост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роено 189 тыс. кв. м общей площади жилых домов, что на 12% выше уровня аналогичного периода 2024 года.</w:t>
      </w:r>
    </w:p>
    <w:p w:rsidR="00DC6913" w:rsidRPr="00DF78A9" w:rsidRDefault="00ED7804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Министерством строительства, жилищно-коммунального хозяйства и энергетики Республики Карелия ввод жилья на 2025 год в республике оценивается 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300 </w:t>
      </w:r>
      <w:proofErr w:type="spellStart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тыс.кв.м</w:t>
      </w:r>
      <w:proofErr w:type="spellEnd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913" w:rsidRPr="00DF78A9" w:rsidRDefault="00ED780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Инвестиции в основной капитал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полному кругу организаций в Республике Карелия в январе-июне 2025 года   составили 42,8 млрд. руб. и выросли по сравнению с соответствующим периодом 2024 года на 8,9 млрд. руб. или в 1,2 раза в сопо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ставимых ценах.  </w:t>
      </w:r>
    </w:p>
    <w:p w:rsidR="00DC6913" w:rsidRPr="00DF78A9" w:rsidRDefault="00ED780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первым полугодием 2024 года инвестиции крупных и средних организаций выросли 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7,1 млрд рублей в действующих ценах или в 1,22 раза в сопоставимых ценах до 25,3 млрд рублей. В структуре инвестиций по видам экономической де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ятельности наибольшие объемы приходятся на </w:t>
      </w:r>
      <w:r w:rsidRPr="00DF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добычу полезных ископаемых – 8,92 млрд. руб. (27,5%), </w:t>
      </w:r>
      <w:r w:rsidRPr="00DF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обрабатывающие производства – 7,31 млрд. руб. (22,6%),</w:t>
      </w:r>
      <w:r w:rsidRPr="00DF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транспортировку и хранение – 4,21 млрд. руб. (13,0%), </w:t>
      </w:r>
      <w:r w:rsidRPr="00DF78A9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обеспечение электрической энергией, газом и паро</w:t>
      </w:r>
      <w:r w:rsidRPr="00DF78A9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м; кондиционирование воздуха – 2,38 млрд. руб. (7,3%), </w:t>
      </w:r>
      <w:r w:rsidRPr="00DF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сельское, лесное хозяйство, охоту, рыболовство и рыбоводство – 2,33 млрд. руб. (7,2%).</w:t>
      </w:r>
    </w:p>
    <w:p w:rsidR="00DC6913" w:rsidRPr="00DF78A9" w:rsidRDefault="00ED780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инвестиций субъектов малого предпринимательства и инвестиций, не наблюдаемых прямыми статистическими метода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в </w:t>
      </w:r>
      <w:r w:rsidRPr="00DF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январе - июне 2025 года составил                        10,4 млрд. руб. и увеличился по сравнению с соответствующим периодом 2024 года 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1,8 млрд. руб. или на 16% в сопоставимых ценах.</w:t>
      </w:r>
    </w:p>
    <w:p w:rsidR="00DC6913" w:rsidRPr="00DF78A9" w:rsidRDefault="00ED780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по итогам 2025 </w:t>
      </w:r>
      <w:proofErr w:type="gramStart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инвестиции</w:t>
      </w:r>
      <w:proofErr w:type="gramEnd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основной капитал</w:t>
      </w:r>
      <w:r w:rsidRPr="00DF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</w:t>
      </w:r>
      <w:r w:rsidRPr="00DF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олному кругу организаций в Республике Карелия оцениваются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объеме 105,9 млрд. рублей, что  на 2,3 </w:t>
      </w:r>
      <w:proofErr w:type="spellStart"/>
      <w:r w:rsidRPr="00DF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млрд.руб</w:t>
      </w:r>
      <w:proofErr w:type="spellEnd"/>
      <w:r w:rsidRPr="00DF78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выше  уровня 2024 года.</w:t>
      </w:r>
    </w:p>
    <w:p w:rsidR="00DC6913" w:rsidRPr="00DF78A9" w:rsidRDefault="00ED780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объем капитальных вложений в 2025 </w:t>
      </w:r>
      <w:proofErr w:type="gramStart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формируют</w:t>
      </w:r>
      <w:proofErr w:type="gramEnd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крупные инвестиционные проекты, реализуемые предприятиями на территории Республики Карелия, такие как:</w:t>
      </w:r>
    </w:p>
    <w:p w:rsidR="00DC6913" w:rsidRPr="00DF78A9" w:rsidRDefault="00ED780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модернизация производства и обновление основных фондов на предприятии АО «Карельский окатыш» (12,7 млрд. руб.);</w:t>
      </w:r>
    </w:p>
    <w:p w:rsidR="00DC6913" w:rsidRPr="00DF78A9" w:rsidRDefault="00ED780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проект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модернизации производства АО «Сегежский ЦБК» (1,9 млрд. руб.);</w:t>
      </w:r>
    </w:p>
    <w:p w:rsidR="00DC6913" w:rsidRPr="00DF78A9" w:rsidRDefault="00ED780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глубокой модернизации завода АО «Онежский судостроительно-судоремонтный завод» (1,4 млрд. руб.);</w:t>
      </w:r>
    </w:p>
    <w:p w:rsidR="00DC6913" w:rsidRPr="00DF78A9" w:rsidRDefault="00ED780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по модернизации и реконструкции производственных мощностей по переработке 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древесины в </w:t>
      </w:r>
      <w:proofErr w:type="spellStart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Суоярвском</w:t>
      </w:r>
      <w:proofErr w:type="spellEnd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Медвежьегорском муниципальных округах Республики Карелия в условиях долгосрочной аренды лесных участков ООО «</w:t>
      </w:r>
      <w:proofErr w:type="spellStart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Форест-Тревел</w:t>
      </w:r>
      <w:proofErr w:type="spellEnd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» (1,3 млрд. руб.);</w:t>
      </w:r>
    </w:p>
    <w:p w:rsidR="00DC6913" w:rsidRPr="00DF78A9" w:rsidRDefault="00ED780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по модернизации древесно-подготовительного цеха </w:t>
      </w:r>
      <w:proofErr w:type="spellStart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Кондопожского</w:t>
      </w:r>
      <w:proofErr w:type="spellEnd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целлюлозно-бумажно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комбината АО «</w:t>
      </w:r>
      <w:proofErr w:type="spellStart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Кондопожский</w:t>
      </w:r>
      <w:proofErr w:type="spellEnd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ЦБК» (0,8 млрд. руб.);</w:t>
      </w:r>
    </w:p>
    <w:p w:rsidR="00DC6913" w:rsidRPr="00DF78A9" w:rsidRDefault="00ED78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по организации производства рыбных кормов в Республике Карелия ООО «</w:t>
      </w:r>
      <w:proofErr w:type="spellStart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РусФиш</w:t>
      </w:r>
      <w:proofErr w:type="spellEnd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» (0,8 млрд. руб.);</w:t>
      </w:r>
    </w:p>
    <w:p w:rsidR="00DC6913" w:rsidRPr="00DF78A9" w:rsidRDefault="00ED78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по строительству нового щебеночного завода ООО «</w:t>
      </w:r>
      <w:proofErr w:type="spellStart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</w:t>
      </w:r>
      <w:proofErr w:type="spellEnd"/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Трейд» (0,7 млрд. руб.);</w:t>
      </w:r>
    </w:p>
    <w:p w:rsidR="00DC6913" w:rsidRPr="00DF78A9" w:rsidRDefault="00ED78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по 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строительству лесопильного завода ООО «Русский Лесной Альянс» (0,3 млрд. руб.);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инфраструктуры и обновление основных фондов АО «РЖД», Октябрьская железная дорога (10,0 млрд. руб.);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инвестиционных программ предприятиями энергетики, т</w:t>
      </w: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еплоснабжения и водоснабжения (5,5 млрд. руб.);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программы развития газоснабжения и газификации Республики Карелия на период 2021-2025 годов компаниями ПАО «Газпром» (3,5 млрд. руб.).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Кроме того, в 2025 году предусмотрены значительные объемы фи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нансирования из федерального и республиканского бюджетов, выделенные в </w:t>
      </w:r>
      <w:proofErr w:type="gramStart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рамках  федеральной</w:t>
      </w:r>
      <w:proofErr w:type="gramEnd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адресной инвестиционной программы, федеральных целевых программ,  федеральных государственных программ, республиканской адресной инвестиционной программы на модерниз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ацию, строительство объектов государственной собственности и инженерной инфраструктуры (6,6 млрд. руб.).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Индекс потребительских цен на товары и услуги в январе-августе 2025 года составил 109,3% к аналогичному периоду 2024 года (в январе-августе 2024 года –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107,9%), в том числе на товары – 108,3% (106,9%), на услуги – 111,5% (110,1%). Учитывая динамику потребительских цен в прошлом году, индекс потребительских цен на товары и услуги в 2025 году оценивается на уровне 109,3% в среднегодовом выражении.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 данны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 </w:t>
      </w:r>
      <w:proofErr w:type="spellStart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Карелиястата</w:t>
      </w:r>
      <w:proofErr w:type="spellEnd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среднемесячная номинальная начисленная заработная плата работников организаций Республики Карелия за январь-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июль 2025 года составила 81 тыс. рублей или 109,3% к январю-июлю 2024 года. Учитывая неравномерную динамику показателя в течение года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, ожидается, что среднемесячная номинальная начисленная заработная плата по году составит 81,5 тыс. рублей (109,8% к 2024 году).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F78A9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Оборот розничной торговли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по итогам января-августа 2025 года составил 151 млрд рублей и увеличился на 6,8% по сравнению с анало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гичным периодом 2024 года в сопоставимых ценах. В 2025 году розничный товарооборот оценивается порядка 223 млрд рублей (103,2% к предыдущему году в сопоставимых ценах).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F78A9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Объем платных услуг населению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по итогам января-августа 2025 года увеличился на 1,1% к а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налогичному периоду 2024 года в сопоставимых ценах и составил 46,8млрд рублей. Ожидается, что до конца текущего года объем платных услуг составит 70,8 млрд рублей или 101% к уровню 2024 года в сопоставимых ценах.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Несмотря на принимаемые Правительством Респ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ублики Карелия меры, демографическая ситуация в республике остается сложной. На протяжении ряда лет ситуация в республике характеризуется естественной убылью населения, в результате чего происходит сокращение общей численности жителей республики, в том чис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ле и женского населения. Кроме того, в последние годы ситуацию осложняет вхождение в репродуктивный возраст поколения 90-х годов XX столетия, которое по численности меньше поколения 80-х годов.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По данным </w:t>
      </w:r>
      <w:proofErr w:type="spellStart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Карелиястата</w:t>
      </w:r>
      <w:proofErr w:type="spellEnd"/>
      <w:r w:rsidRPr="00DF78A9">
        <w:rPr>
          <w:sz w:val="28"/>
          <w:szCs w:val="28"/>
        </w:rPr>
        <w:t xml:space="preserve"> </w:t>
      </w:r>
      <w:r w:rsidRPr="00DF78A9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численность населения 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Республики Карел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ия на 1 января 2025 года составила 519 </w:t>
      </w:r>
      <w:proofErr w:type="spellStart"/>
      <w:proofErr w:type="gramStart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тыс.человек</w:t>
      </w:r>
      <w:proofErr w:type="spellEnd"/>
      <w:proofErr w:type="gramEnd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и уменьшилась по сравнению с 1 января 2024 года  на 4,9 </w:t>
      </w:r>
      <w:proofErr w:type="spellStart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тыс.человек</w:t>
      </w:r>
      <w:proofErr w:type="spellEnd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  В республике продолжаются процессы депопуляции населения: число умерших превышает число родившихся. С учетом сформировавшихся тенденций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прогноз социально-экономического развития Республики Карелия предусматривает сокращение численности населения в среднесрочной перспективе. По оценкам среднегодовая численность населения в 2025 году составит 516,9 тыс. чел.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F78A9">
        <w:rPr>
          <w:rFonts w:ascii="Liberation Serif" w:eastAsia="Liberation Serif" w:hAnsi="Liberation Serif" w:cs="Liberation Serif"/>
          <w:sz w:val="28"/>
          <w:szCs w:val="28"/>
        </w:rPr>
        <w:t xml:space="preserve">Что касается </w:t>
      </w:r>
      <w:r w:rsidRPr="00DF78A9">
        <w:rPr>
          <w:rFonts w:ascii="Liberation Serif" w:eastAsia="Liberation Serif" w:hAnsi="Liberation Serif" w:cs="Liberation Serif"/>
          <w:b/>
          <w:sz w:val="28"/>
          <w:szCs w:val="28"/>
        </w:rPr>
        <w:t>ситуации на рынке труда</w:t>
      </w:r>
      <w:r w:rsidRPr="00DF78A9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 состоянию на 1 сентября 2025 года численность безработных, состоящих на учете в службе занятости, составила 1,8 тыс. человек, что соответствует аналогичному периоду прошлого года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За январь-август 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2025 года уровень зарегистриров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анной безработицы сохранился на уровне 2024 года - 0,7%.   В текущем году продолжает снижаться уровень общей безработицы: в 2024 году уровень общей безработицы составил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4,2%, в первом квартале 2025 года – 3,2%, во втором квартале – 2,9%, в третьем квартале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– 2,9%. 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 xml:space="preserve">Уровень регистрируемой безработицы на </w:t>
      </w:r>
      <w:proofErr w:type="gramStart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конец  2025</w:t>
      </w:r>
      <w:proofErr w:type="gramEnd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года оценивается на уровне 0,6% (1,5 тыс. человек). Уровень общей безработицы по методологии МОТ в 2025 году </w:t>
      </w:r>
      <w:proofErr w:type="gramStart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оценивается  в</w:t>
      </w:r>
      <w:proofErr w:type="gramEnd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среднем по году   3,1% от численности рабочей силы.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F78A9">
        <w:rPr>
          <w:rFonts w:ascii="Liberation Serif" w:eastAsia="Liberation Serif" w:hAnsi="Liberation Serif" w:cs="Liberation Serif"/>
          <w:sz w:val="28"/>
          <w:szCs w:val="28"/>
        </w:rPr>
        <w:t xml:space="preserve"> В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2025 году по данн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ым баланса трудовых </w:t>
      </w:r>
      <w:proofErr w:type="gramStart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ресурсов  численность</w:t>
      </w:r>
      <w:proofErr w:type="gramEnd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занятых работников оценивается на уровне 232,2 тыс. человек, что выше показателя 2024 года.  </w:t>
      </w:r>
    </w:p>
    <w:p w:rsidR="00DC6913" w:rsidRPr="00DF78A9" w:rsidRDefault="00ED78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Риски отклонения показателей от ожидаемой оценки основных показателей социально-экономического развития Республики Карел</w:t>
      </w:r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ия связаны с сохранением неблагоприятной внешнеэкономической конъюнктуры рынка в условиях ужесточения </w:t>
      </w:r>
      <w:proofErr w:type="spellStart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санкционных</w:t>
      </w:r>
      <w:proofErr w:type="spellEnd"/>
      <w:r w:rsidRPr="00DF78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ограничений. </w:t>
      </w:r>
    </w:p>
    <w:p w:rsidR="00DC6913" w:rsidRPr="00DF78A9" w:rsidRDefault="00DC6913">
      <w:pPr>
        <w:rPr>
          <w:rFonts w:ascii="Liberation Serif" w:hAnsi="Liberation Serif" w:cs="Liberation Serif"/>
          <w:sz w:val="28"/>
          <w:szCs w:val="28"/>
        </w:rPr>
      </w:pPr>
    </w:p>
    <w:sectPr w:rsidR="00DC6913" w:rsidRPr="00DF78A9">
      <w:footerReference w:type="default" r:id="rId6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13" w:rsidRDefault="00ED7804">
      <w:pPr>
        <w:spacing w:after="0" w:line="240" w:lineRule="auto"/>
      </w:pPr>
      <w:r>
        <w:separator/>
      </w:r>
    </w:p>
  </w:endnote>
  <w:endnote w:type="continuationSeparator" w:id="0">
    <w:p w:rsidR="00DC6913" w:rsidRDefault="00ED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913" w:rsidRDefault="00ED7804">
    <w:pPr>
      <w:pStyle w:val="af3"/>
      <w:jc w:val="right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10</w:t>
    </w:r>
    <w:r>
      <w:fldChar w:fldCharType="end"/>
    </w:r>
  </w:p>
  <w:p w:rsidR="00DC6913" w:rsidRDefault="00DC691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13" w:rsidRDefault="00ED7804">
      <w:pPr>
        <w:spacing w:after="0" w:line="240" w:lineRule="auto"/>
      </w:pPr>
      <w:r>
        <w:separator/>
      </w:r>
    </w:p>
  </w:footnote>
  <w:footnote w:type="continuationSeparator" w:id="0">
    <w:p w:rsidR="00DC6913" w:rsidRDefault="00ED7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13"/>
    <w:rsid w:val="00DC6913"/>
    <w:rsid w:val="00DF78A9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8402E-A283-450B-A543-5053076E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Title"/>
    <w:basedOn w:val="a"/>
    <w:next w:val="a"/>
    <w:link w:val="ac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c">
    <w:name w:val="Заголовок Знак"/>
    <w:link w:val="ab"/>
    <w:uiPriority w:val="10"/>
    <w:rPr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pPr>
      <w:spacing w:before="200"/>
    </w:pPr>
    <w:rPr>
      <w:sz w:val="24"/>
      <w:szCs w:val="24"/>
    </w:rPr>
  </w:style>
  <w:style w:type="character" w:customStyle="1" w:styleId="ae">
    <w:name w:val="Подзаголовок Знак"/>
    <w:link w:val="ad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5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4">
    <w:name w:val="Нижний колонтитул Знак"/>
    <w:link w:val="af3"/>
    <w:uiPriority w:val="99"/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character" w:styleId="afa">
    <w:name w:val="footnote reference"/>
    <w:uiPriority w:val="99"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link w:val="afb"/>
    <w:uiPriority w:val="99"/>
    <w:rPr>
      <w:sz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bt">
    <w:name w:val="Основной текст;b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Мой стиль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3285</Words>
  <Characters>18729</Characters>
  <Application>Microsoft Office Word</Application>
  <DocSecurity>0</DocSecurity>
  <Lines>156</Lines>
  <Paragraphs>43</Paragraphs>
  <ScaleCrop>false</ScaleCrop>
  <Company/>
  <LinksUpToDate>false</LinksUpToDate>
  <CharactersWithSpaces>21971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Александр Сафронов</cp:lastModifiedBy>
  <cp:revision>6</cp:revision>
  <dcterms:created xsi:type="dcterms:W3CDTF">2025-10-31T11:44:00Z</dcterms:created>
  <dcterms:modified xsi:type="dcterms:W3CDTF">2025-10-31T11:48:00Z</dcterms:modified>
</cp:coreProperties>
</file>